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4FAB" w14:textId="485B1880" w:rsidR="006F363E" w:rsidRPr="000E19B6" w:rsidRDefault="006F363E" w:rsidP="006F363E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0E19B6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Rasprava 3</w:t>
      </w: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F363E" w:rsidRPr="000E19B6" w14:paraId="080CDCB4" w14:textId="77777777" w:rsidTr="00211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5AF1030" w14:textId="77777777" w:rsidR="006F363E" w:rsidRPr="000E19B6" w:rsidRDefault="006F363E" w:rsidP="002115C4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707BA201" w14:textId="77777777" w:rsidR="006F363E" w:rsidRPr="000E19B6" w:rsidRDefault="006F363E" w:rsidP="006F363E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539"/>
        <w:gridCol w:w="2399"/>
        <w:gridCol w:w="3122"/>
      </w:tblGrid>
      <w:tr w:rsidR="006F363E" w:rsidRPr="000E19B6" w14:paraId="0F52E8C6" w14:textId="77777777" w:rsidTr="002115C4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5202FE8B" w14:textId="77777777" w:rsidR="006F363E" w:rsidRPr="000E19B6" w:rsidRDefault="006F363E" w:rsidP="002115C4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0E19B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57EBEFD7" w14:textId="77777777" w:rsidR="006F363E" w:rsidRPr="000E19B6" w:rsidRDefault="006F363E" w:rsidP="002115C4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hideMark/>
          </w:tcPr>
          <w:p w14:paraId="115CE0AD" w14:textId="77777777" w:rsidR="006F363E" w:rsidRPr="000E19B6" w:rsidRDefault="006F363E" w:rsidP="002115C4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0E19B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332410F5" w14:textId="77777777" w:rsidR="006F363E" w:rsidRPr="000E19B6" w:rsidRDefault="006F363E" w:rsidP="002115C4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0E19B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09AB651E" w14:textId="77777777" w:rsidR="006F363E" w:rsidRPr="000E19B6" w:rsidRDefault="006F363E" w:rsidP="002115C4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6F363E" w:rsidRPr="000E19B6" w14:paraId="225C3009" w14:textId="77777777" w:rsidTr="002115C4">
        <w:trPr>
          <w:trHeight w:val="5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7AB8A23B" w14:textId="77777777" w:rsidR="006F363E" w:rsidRPr="000E19B6" w:rsidRDefault="006F363E" w:rsidP="002115C4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14:paraId="1834BB61" w14:textId="77777777" w:rsidR="006F363E" w:rsidRPr="000E19B6" w:rsidRDefault="006F363E" w:rsidP="002115C4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0E19B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3A053B26" w14:textId="77777777" w:rsidR="006F363E" w:rsidRPr="000E19B6" w:rsidRDefault="006F363E" w:rsidP="002115C4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2FDD2816" w14:textId="77777777" w:rsidR="00641082" w:rsidRPr="00641082" w:rsidRDefault="00641082" w:rsidP="00641082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4108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video materijali</w:t>
            </w:r>
          </w:p>
          <w:p w14:paraId="75BB0282" w14:textId="5257A8BC" w:rsidR="006F363E" w:rsidRPr="000E19B6" w:rsidRDefault="00641082" w:rsidP="00641082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41082">
              <w:rPr>
                <w:rFonts w:ascii="Times New Roman" w:eastAsia="Calibri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45AB9805" w14:textId="77777777" w:rsidR="006F363E" w:rsidRPr="000E19B6" w:rsidRDefault="006F363E" w:rsidP="006F363E">
      <w:pPr>
        <w:rPr>
          <w:rFonts w:ascii="Times New Roman" w:hAnsi="Times New Roman" w:cs="Times New Roman"/>
          <w:sz w:val="24"/>
          <w:szCs w:val="24"/>
        </w:rPr>
      </w:pPr>
    </w:p>
    <w:p w14:paraId="62F3CDFB" w14:textId="77777777" w:rsidR="006F363E" w:rsidRPr="000E19B6" w:rsidRDefault="006F363E" w:rsidP="006F36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F363E" w:rsidRPr="000E19B6" w14:paraId="21EAED24" w14:textId="77777777" w:rsidTr="00211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hideMark/>
          </w:tcPr>
          <w:p w14:paraId="3E32120A" w14:textId="77777777" w:rsidR="006F363E" w:rsidRPr="000E19B6" w:rsidRDefault="006F363E" w:rsidP="002115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6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F363E" w:rsidRPr="000E19B6" w14:paraId="06F3D7C7" w14:textId="77777777" w:rsidTr="00211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left w:val="single" w:sz="4" w:space="0" w:color="F4B083" w:themeColor="accent2" w:themeTint="99"/>
              <w:bottom w:val="double" w:sz="4" w:space="0" w:color="ED7D31" w:themeColor="accent2"/>
              <w:right w:val="single" w:sz="4" w:space="0" w:color="F4B083" w:themeColor="accent2" w:themeTint="99"/>
            </w:tcBorders>
            <w:hideMark/>
          </w:tcPr>
          <w:p w14:paraId="09AF191E" w14:textId="6E5B4A8B" w:rsidR="000C5876" w:rsidRPr="00641082" w:rsidRDefault="000C5876" w:rsidP="009F5AFC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0" w:name="_Hlk69913701"/>
            <w:r w:rsidRPr="0064108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Učenik primjenjuje vještine razgovora u skupini. Raspravlja u planiranoj i pripremljenoj raspravi. Razgovijetno govori primjenjujući govorne vrednote. Izbjegava pogreške u govoru, zastajkivanja, </w:t>
            </w:r>
            <w:proofErr w:type="spellStart"/>
            <w:r w:rsidRPr="0064108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samoispravljanja</w:t>
            </w:r>
            <w:proofErr w:type="spellEnd"/>
            <w:r w:rsidRPr="0064108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zamuckivanje i poštapalice. Uživljava se u sadržaj govoreći s uvjerenjem. Razlikuje kritičko slušanje usmjereno na procjenu slušanoga teksta, od </w:t>
            </w:r>
            <w:r w:rsidR="00B27F7E" w:rsidRPr="0064108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ostalih </w:t>
            </w:r>
            <w:r w:rsidRPr="0064108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vrsta slušanja. Procjenjuje podatke iz slušanog teksta. Sintetizira sadržaj slušanog teksta. Prosuđuje slušani tekst i proširuje njegovo značenje na temelju stečenog znanja i iskustva. Pristupa temi s istraživačkoga, problemskog</w:t>
            </w:r>
            <w:r w:rsidR="00B27F7E" w:rsidRPr="0064108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64108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kritičkog</w:t>
            </w:r>
            <w:r w:rsidR="00B27F7E" w:rsidRPr="0064108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64108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gledišta te nudi moguća rješenja. Istražuje temu uzimajući u obzir različite dokaze, primjere i iskustva. Jasno izražava sta</w:t>
            </w:r>
            <w:r w:rsidR="00B27F7E" w:rsidRPr="0064108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jalište</w:t>
            </w:r>
            <w:r w:rsidRPr="0064108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oblikuje temu iznoseći predodžbe, misli, znanja,</w:t>
            </w:r>
            <w:r w:rsidR="009F5AFC" w:rsidRPr="0064108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64108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asocijacije, prosudbe, iskustva i osjećaje. Uočava sliku stvarnosti koju predstavljaju mediji radi komercijalizacije i uspoređuje ju s vlastitom slikom stvarnosti. Objašnjava utjecaj medijskih poruka na oblikovanje vlastitih sta</w:t>
            </w:r>
            <w:r w:rsidR="00B27F7E" w:rsidRPr="0064108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jališta</w:t>
            </w:r>
            <w:r w:rsidRPr="0064108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Samostalno </w:t>
            </w:r>
            <w:r w:rsidR="00B27F7E" w:rsidRPr="0064108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od</w:t>
            </w:r>
            <w:r w:rsidRPr="0064108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abire i prerađuje medijske poruke za stvaranje</w:t>
            </w:r>
          </w:p>
          <w:p w14:paraId="1D635264" w14:textId="3F47A697" w:rsidR="000C5876" w:rsidRPr="00641082" w:rsidRDefault="000C5876" w:rsidP="009F5AFC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4108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pretpostavki i donošenje odluka. </w:t>
            </w:r>
            <w:r w:rsidR="00B27F7E" w:rsidRPr="0064108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Spoznaje </w:t>
            </w:r>
            <w:r w:rsidRPr="0064108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internet kao platformu: internet kao medij svih medija. </w:t>
            </w:r>
          </w:p>
          <w:p w14:paraId="293D697C" w14:textId="77777777" w:rsidR="006F363E" w:rsidRPr="000E19B6" w:rsidRDefault="006F363E" w:rsidP="009F5AFC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C9839F2" w14:textId="65A1D79E" w:rsidR="009F5AFC" w:rsidRPr="000E19B6" w:rsidRDefault="009F5AFC" w:rsidP="009F5A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0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raspravlja </w:t>
            </w:r>
            <w:r w:rsidR="00B27F7E" w:rsidRPr="006410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 </w:t>
            </w:r>
            <w:r w:rsidRPr="006410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unaprijed zadan</w:t>
            </w:r>
            <w:r w:rsidR="00B27F7E" w:rsidRPr="006410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oj</w:t>
            </w:r>
            <w:r w:rsidRPr="006410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tem</w:t>
            </w:r>
            <w:r w:rsidR="00B27F7E" w:rsidRPr="006410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</w:t>
            </w:r>
            <w:r w:rsidRPr="006410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Primjenjuje prethodno stečena znanja o raspravi. Svrhovito </w:t>
            </w:r>
            <w:r w:rsidR="00B27F7E" w:rsidRPr="006410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primjenjuje </w:t>
            </w:r>
            <w:r w:rsidRPr="006410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govorne vrednote i neverbaln</w:t>
            </w:r>
            <w:r w:rsidR="00B27F7E" w:rsidRPr="006410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6410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znakov</w:t>
            </w:r>
            <w:r w:rsidR="00B27F7E" w:rsidRPr="006410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6410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Vježba aktivno slušanje i razumijevanje tuđih argumenata te na taj način uči kako oblikovati argument kojim će obraniti svoj</w:t>
            </w:r>
            <w:r w:rsidR="00B27F7E" w:rsidRPr="006410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6410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sta</w:t>
            </w:r>
            <w:r w:rsidR="00B27F7E" w:rsidRPr="006410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jalište</w:t>
            </w:r>
            <w:r w:rsidRPr="006410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r w:rsidR="00B27F7E" w:rsidRPr="006410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Poštuje </w:t>
            </w:r>
            <w:r w:rsidRPr="006410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tuđ</w:t>
            </w:r>
            <w:r w:rsidR="00B27F7E" w:rsidRPr="006410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</w:t>
            </w:r>
            <w:r w:rsidRPr="006410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sta</w:t>
            </w:r>
            <w:r w:rsidR="00B27F7E" w:rsidRPr="006410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jališta</w:t>
            </w:r>
            <w:r w:rsidRPr="006410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 razmišljanja.</w:t>
            </w:r>
          </w:p>
        </w:tc>
      </w:tr>
      <w:bookmarkEnd w:id="0"/>
    </w:tbl>
    <w:p w14:paraId="53A99F1F" w14:textId="77777777" w:rsidR="006F363E" w:rsidRPr="000E19B6" w:rsidRDefault="006F363E" w:rsidP="006F36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F363E" w:rsidRPr="000E19B6" w14:paraId="13A31EF5" w14:textId="77777777" w:rsidTr="00211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hideMark/>
          </w:tcPr>
          <w:p w14:paraId="2D4A3A16" w14:textId="77777777" w:rsidR="006F363E" w:rsidRPr="000E19B6" w:rsidRDefault="006F363E" w:rsidP="002115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0E19B6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F363E" w:rsidRPr="000E19B6" w14:paraId="0ECD506A" w14:textId="77777777" w:rsidTr="00211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left w:val="single" w:sz="4" w:space="0" w:color="F4B083" w:themeColor="accent2" w:themeTint="99"/>
              <w:bottom w:val="double" w:sz="4" w:space="0" w:color="ED7D31" w:themeColor="accent2"/>
              <w:right w:val="single" w:sz="4" w:space="0" w:color="F4B083" w:themeColor="accent2" w:themeTint="99"/>
            </w:tcBorders>
            <w:hideMark/>
          </w:tcPr>
          <w:p w14:paraId="4C11D34D" w14:textId="59CCBFE5" w:rsidR="006F363E" w:rsidRPr="000E19B6" w:rsidRDefault="00B27F7E" w:rsidP="009F5AFC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0E19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F363E" w:rsidRPr="000E19B6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0CD7F034" w14:textId="29A4E011" w:rsidR="00854490" w:rsidRPr="000E19B6" w:rsidRDefault="00B27F7E" w:rsidP="000E19B6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54490" w:rsidRPr="000E19B6">
              <w:rPr>
                <w:rFonts w:ascii="Times New Roman" w:hAnsi="Times New Roman" w:cs="Times New Roman"/>
                <w:sz w:val="24"/>
                <w:szCs w:val="24"/>
              </w:rPr>
              <w:t>ježbe za glas i izgovor</w:t>
            </w:r>
          </w:p>
          <w:p w14:paraId="7BA13224" w14:textId="720D9379" w:rsidR="00C644C4" w:rsidRPr="000E19B6" w:rsidRDefault="00C644C4" w:rsidP="009F5A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DDF87AA" w14:textId="7D6483A2" w:rsidR="00C644C4" w:rsidRPr="000E19B6" w:rsidRDefault="00C644C4" w:rsidP="009F5AFC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6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11161541" w14:textId="2C8FC54D" w:rsidR="00C644C4" w:rsidRPr="000E19B6" w:rsidRDefault="00C644C4" w:rsidP="009F5AFC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se p</w:t>
            </w:r>
            <w:r w:rsidR="00B27F7E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ri</w:t>
            </w: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sjećaju pravila raspravljanja t</w:t>
            </w:r>
            <w:r w:rsidR="00B27F7E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 važnih elemenata</w:t>
            </w: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rasprave</w:t>
            </w:r>
            <w:r w:rsidR="009F5AFC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(pošt</w:t>
            </w:r>
            <w:r w:rsidR="00B27F7E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</w:t>
            </w:r>
            <w:r w:rsidR="009F5AFC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vanje sugovornika</w:t>
            </w:r>
            <w:r w:rsidR="00B27F7E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</w:t>
            </w:r>
            <w:r w:rsidR="009F5AFC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mišljenja, aktivno slušanje, govorne vrednote, neverbalni znakovi)</w:t>
            </w: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</w:p>
          <w:p w14:paraId="0F972B54" w14:textId="77777777" w:rsidR="00854490" w:rsidRPr="000E19B6" w:rsidRDefault="00854490" w:rsidP="009F5AFC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A7645BB" w14:textId="2290DC16" w:rsidR="00854490" w:rsidRPr="000E19B6" w:rsidRDefault="00B27F7E" w:rsidP="009F5AFC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54490" w:rsidRPr="000E19B6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350FAFEA" w14:textId="2A580BEA" w:rsidR="00854490" w:rsidRPr="000E19B6" w:rsidRDefault="00B27F7E" w:rsidP="000E19B6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54490" w:rsidRPr="000E19B6">
              <w:rPr>
                <w:rFonts w:ascii="Times New Roman" w:hAnsi="Times New Roman" w:cs="Times New Roman"/>
                <w:sz w:val="24"/>
                <w:szCs w:val="24"/>
              </w:rPr>
              <w:t>asprava.</w:t>
            </w:r>
            <w:r w:rsidR="00C644C4" w:rsidRPr="000E1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367B80" w14:textId="144F52B8" w:rsidR="00C644C4" w:rsidRPr="000E19B6" w:rsidRDefault="00C644C4" w:rsidP="009F5A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raspravljaju </w:t>
            </w:r>
            <w:r w:rsidR="00B27F7E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</w:t>
            </w: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prethodno zadan</w:t>
            </w:r>
            <w:r w:rsidR="00B27F7E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oj</w:t>
            </w: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tem</w:t>
            </w:r>
            <w:r w:rsidR="00B27F7E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</w:t>
            </w: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Rade prema uputama koje su dobili na prethodnim satima. Svaka skupina </w:t>
            </w:r>
            <w:r w:rsidR="00B27F7E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najprije dobiva</w:t>
            </w: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uvodnu riječ</w:t>
            </w:r>
            <w:r w:rsidR="00B27F7E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 trajanju od</w:t>
            </w: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3 </w:t>
            </w:r>
            <w:r w:rsidR="00B27F7E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do</w:t>
            </w: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5 minuta, </w:t>
            </w:r>
            <w:r w:rsidR="00B27F7E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a </w:t>
            </w: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nakon </w:t>
            </w:r>
            <w:r w:rsidR="00B27F7E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toga počinje</w:t>
            </w: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argumentiranje i rasprava. Su</w:t>
            </w:r>
            <w:r w:rsidR="00B27F7E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</w:t>
            </w: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ci bilježe argumente i protuargumente, odnosno uspješno argumentiranje i </w:t>
            </w:r>
            <w:proofErr w:type="spellStart"/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protuargumentiranje</w:t>
            </w:r>
            <w:proofErr w:type="spellEnd"/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  <w:r w:rsidR="00B27F7E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</w:t>
            </w: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rijeme rasprave</w:t>
            </w:r>
            <w:r w:rsidR="00B27F7E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zadano je </w:t>
            </w:r>
            <w:r w:rsidR="00B27F7E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unaprijed</w:t>
            </w: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 Kad vrijeme rasprave</w:t>
            </w:r>
            <w:r w:rsidR="00B27F7E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bude</w:t>
            </w: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pri kraju, </w:t>
            </w:r>
            <w:r w:rsidR="00B27F7E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učenicima treba </w:t>
            </w: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omogućiti i završnu riječ</w:t>
            </w:r>
            <w:r w:rsidR="00B27F7E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 trajanju od</w:t>
            </w: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3 </w:t>
            </w:r>
            <w:r w:rsidR="00B27F7E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do</w:t>
            </w: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5 minuta. </w:t>
            </w:r>
          </w:p>
          <w:p w14:paraId="59B1023F" w14:textId="77777777" w:rsidR="00C644C4" w:rsidRPr="000E19B6" w:rsidRDefault="00C644C4" w:rsidP="009F5A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FE9B6" w14:textId="0B3AC825" w:rsidR="00C644C4" w:rsidRPr="000E19B6" w:rsidRDefault="00C644C4" w:rsidP="009F5AFC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6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1287E5A1" w14:textId="7E4B371E" w:rsidR="00C644C4" w:rsidRPr="000E19B6" w:rsidRDefault="00C644C4" w:rsidP="009F5A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Nakon rasprave slijedi dogovor i glasanje sudaca. Kad su</w:t>
            </w:r>
            <w:r w:rsidR="00B27F7E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</w:t>
            </w: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ci donesu odluku </w:t>
            </w:r>
            <w:r w:rsidR="00B27F7E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 odaberu</w:t>
            </w: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uspješnij</w:t>
            </w:r>
            <w:r w:rsidR="00B27F7E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 skupinu</w:t>
            </w: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javno iznose odluku. Objašnjavaju učenicima zašto je određena skupina bila uspješnija, koji su argumenti bili ključni, odnosno koji su bili nedostaci određenih argumenata. Svaki sudac ponaosob iznosi svoja razmišljanja. Su</w:t>
            </w:r>
            <w:r w:rsidR="002203E2"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</w:t>
            </w:r>
            <w:r w:rsidRPr="000E19B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ci proglašavaju i najuspješnijeg učenika/učenicu.</w:t>
            </w:r>
          </w:p>
          <w:p w14:paraId="29357A16" w14:textId="77777777" w:rsidR="00C644C4" w:rsidRPr="000E19B6" w:rsidRDefault="00C644C4" w:rsidP="009F5A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CA969" w14:textId="268E62BA" w:rsidR="00C644C4" w:rsidRPr="000E19B6" w:rsidRDefault="002203E2" w:rsidP="009F5AFC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644C4" w:rsidRPr="000E19B6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73E762FC" w14:textId="016F6F47" w:rsidR="00C644C4" w:rsidRPr="000E19B6" w:rsidRDefault="002203E2" w:rsidP="000E19B6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644C4" w:rsidRPr="000E19B6">
              <w:rPr>
                <w:rFonts w:ascii="Times New Roman" w:hAnsi="Times New Roman" w:cs="Times New Roman"/>
                <w:sz w:val="24"/>
                <w:szCs w:val="24"/>
              </w:rPr>
              <w:t xml:space="preserve">odjela prigodnih diploma ili nagrada </w:t>
            </w:r>
          </w:p>
        </w:tc>
      </w:tr>
      <w:bookmarkEnd w:id="2"/>
    </w:tbl>
    <w:p w14:paraId="7592B784" w14:textId="77777777" w:rsidR="006F363E" w:rsidRPr="000E19B6" w:rsidRDefault="006F363E" w:rsidP="006F36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F363E" w:rsidRPr="000E19B6" w14:paraId="79E4B625" w14:textId="77777777" w:rsidTr="00211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hideMark/>
          </w:tcPr>
          <w:p w14:paraId="189727F6" w14:textId="77777777" w:rsidR="006F363E" w:rsidRPr="000E19B6" w:rsidRDefault="006F363E" w:rsidP="002115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6">
              <w:rPr>
                <w:rFonts w:ascii="Times New Roman" w:hAnsi="Times New Roman" w:cs="Times New Roman"/>
                <w:sz w:val="24"/>
                <w:szCs w:val="24"/>
              </w:rPr>
              <w:t xml:space="preserve">Povezanost s </w:t>
            </w:r>
            <w:proofErr w:type="spellStart"/>
            <w:r w:rsidRPr="000E19B6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0E19B6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F363E" w:rsidRPr="000E19B6" w14:paraId="0A5B11EE" w14:textId="77777777" w:rsidTr="00211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left w:val="single" w:sz="4" w:space="0" w:color="F4B083" w:themeColor="accent2" w:themeTint="99"/>
              <w:bottom w:val="double" w:sz="4" w:space="0" w:color="ED7D31" w:themeColor="accent2"/>
              <w:right w:val="single" w:sz="4" w:space="0" w:color="F4B083" w:themeColor="accent2" w:themeTint="99"/>
            </w:tcBorders>
          </w:tcPr>
          <w:p w14:paraId="5FF31706" w14:textId="77777777" w:rsidR="00641082" w:rsidRPr="00835A34" w:rsidRDefault="00641082" w:rsidP="00641082">
            <w:pPr>
              <w:numPr>
                <w:ilvl w:val="0"/>
                <w:numId w:val="3"/>
              </w:numPr>
              <w:spacing w:after="160"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goo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promiče ljudska prava</w:t>
            </w:r>
          </w:p>
          <w:p w14:paraId="0BC73ACB" w14:textId="77777777" w:rsidR="00641082" w:rsidRPr="00835A34" w:rsidRDefault="00641082" w:rsidP="00641082">
            <w:pPr>
              <w:numPr>
                <w:ilvl w:val="0"/>
                <w:numId w:val="3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goo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preuzima odgovornost za svoje odluke i izbore; zalaže se za različitost mišljenja u demokraciji</w:t>
            </w:r>
          </w:p>
          <w:p w14:paraId="752729A7" w14:textId="77777777" w:rsidR="00641082" w:rsidRPr="00835A34" w:rsidRDefault="00641082" w:rsidP="00641082">
            <w:pPr>
              <w:numPr>
                <w:ilvl w:val="0"/>
                <w:numId w:val="3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promjenom mišljenja mijenja emocionalni</w:t>
            </w:r>
            <w:r w:rsidRPr="00835A34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doživljaj i ponašanje</w:t>
            </w:r>
          </w:p>
          <w:p w14:paraId="7A75D670" w14:textId="77777777" w:rsidR="00641082" w:rsidRPr="00835A34" w:rsidRDefault="00641082" w:rsidP="00641082">
            <w:pPr>
              <w:numPr>
                <w:ilvl w:val="0"/>
                <w:numId w:val="3"/>
              </w:numPr>
              <w:spacing w:after="160"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prilagođava i usklađuje svoje ponašanje s pravilima u skupini</w:t>
            </w:r>
          </w:p>
          <w:p w14:paraId="15B080C0" w14:textId="77777777" w:rsidR="00641082" w:rsidRPr="00835A34" w:rsidRDefault="00641082" w:rsidP="00641082">
            <w:pPr>
              <w:numPr>
                <w:ilvl w:val="0"/>
                <w:numId w:val="3"/>
              </w:numPr>
              <w:spacing w:after="160"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asertivan je</w:t>
            </w:r>
          </w:p>
          <w:p w14:paraId="2F47F52E" w14:textId="77777777" w:rsidR="00641082" w:rsidRPr="00835A34" w:rsidRDefault="00641082" w:rsidP="00641082">
            <w:pPr>
              <w:numPr>
                <w:ilvl w:val="0"/>
                <w:numId w:val="3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samostalno traži nove informacije iz različitih izvora, transformira ih u novo znanje i uspješno primjenjuje pri rješavanju problema</w:t>
            </w:r>
          </w:p>
          <w:p w14:paraId="7695BEB9" w14:textId="77777777" w:rsidR="00641082" w:rsidRPr="00835A34" w:rsidRDefault="00641082" w:rsidP="00641082">
            <w:pPr>
              <w:numPr>
                <w:ilvl w:val="0"/>
                <w:numId w:val="3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otvoren je raznolikim (novim) idejama i pristupima, osmišljava ih, povezuje i iskušava; fleksibilno kombinira različite ideje, sadržaje, pristupe; izražava svoje ideje na osoban i sebi svojstven način; iskazuje značajnu autonomiju u kreativnom procesu</w:t>
            </w:r>
          </w:p>
          <w:p w14:paraId="69C2B751" w14:textId="77777777" w:rsidR="00641082" w:rsidRPr="00E958DB" w:rsidRDefault="00641082" w:rsidP="00641082">
            <w:pPr>
              <w:numPr>
                <w:ilvl w:val="0"/>
                <w:numId w:val="3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A.3.4. uz podršku učitelja analizira i procjenjuje važnost i točnost informacija, međusobno ih povezuje i procjenjuje njihov utjecaj na svoje i tuđe mišljenje; razlikuje činjenice od mišljenja; prihvaća postojanje različitih mišljenja i perspektiva i koristi se uobičajenim kriterijima za </w:t>
            </w:r>
            <w:r w:rsidRPr="00E958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vrednovanje tih pozicija uzimajući u obzir okružje i različite vrijednosne okvire</w:t>
            </w:r>
          </w:p>
          <w:p w14:paraId="6DFF7EDB" w14:textId="77777777" w:rsidR="00641082" w:rsidRPr="00E958DB" w:rsidRDefault="00641082" w:rsidP="00641082">
            <w:pPr>
              <w:numPr>
                <w:ilvl w:val="0"/>
                <w:numId w:val="3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E958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E958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samostalno odabire odgovarajuću digitalnu tehnologiju</w:t>
            </w:r>
          </w:p>
          <w:p w14:paraId="7DB28EFE" w14:textId="77777777" w:rsidR="00641082" w:rsidRPr="00E958DB" w:rsidRDefault="00641082" w:rsidP="00641082">
            <w:pPr>
              <w:numPr>
                <w:ilvl w:val="0"/>
                <w:numId w:val="3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E958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E958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samostalno se koristi raznim uređajima i programima</w:t>
            </w:r>
          </w:p>
          <w:p w14:paraId="462494CB" w14:textId="77777777" w:rsidR="00641082" w:rsidRPr="00835A34" w:rsidRDefault="00641082" w:rsidP="00641082">
            <w:pPr>
              <w:numPr>
                <w:ilvl w:val="0"/>
                <w:numId w:val="3"/>
              </w:numPr>
              <w:spacing w:after="160" w:line="252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primjenjuje tehnike oslobađanja od stresa</w:t>
            </w:r>
          </w:p>
          <w:p w14:paraId="562CA8F8" w14:textId="77777777" w:rsidR="006F363E" w:rsidRPr="000E19B6" w:rsidRDefault="006F363E" w:rsidP="00211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CB9726" w14:textId="77777777" w:rsidR="006F363E" w:rsidRPr="000E19B6" w:rsidRDefault="006F363E" w:rsidP="006F363E">
      <w:pPr>
        <w:rPr>
          <w:rFonts w:ascii="Times New Roman" w:hAnsi="Times New Roman" w:cs="Times New Roman"/>
          <w:sz w:val="24"/>
          <w:szCs w:val="24"/>
        </w:rPr>
      </w:pPr>
    </w:p>
    <w:p w14:paraId="377275C8" w14:textId="77777777" w:rsidR="006F363E" w:rsidRPr="000E19B6" w:rsidRDefault="006F363E" w:rsidP="006F363E">
      <w:pPr>
        <w:rPr>
          <w:rFonts w:ascii="Times New Roman" w:hAnsi="Times New Roman" w:cs="Times New Roman"/>
          <w:sz w:val="24"/>
          <w:szCs w:val="24"/>
        </w:rPr>
      </w:pPr>
    </w:p>
    <w:p w14:paraId="3D1D3F7D" w14:textId="77777777" w:rsidR="006F363E" w:rsidRPr="000E19B6" w:rsidRDefault="006F363E" w:rsidP="006F363E">
      <w:pPr>
        <w:rPr>
          <w:rFonts w:ascii="Times New Roman" w:hAnsi="Times New Roman" w:cs="Times New Roman"/>
          <w:sz w:val="24"/>
          <w:szCs w:val="24"/>
        </w:rPr>
      </w:pPr>
    </w:p>
    <w:p w14:paraId="26198357" w14:textId="77777777" w:rsidR="006F363E" w:rsidRPr="000E19B6" w:rsidRDefault="006F363E" w:rsidP="006F363E">
      <w:pPr>
        <w:rPr>
          <w:rFonts w:ascii="Times New Roman" w:hAnsi="Times New Roman" w:cs="Times New Roman"/>
          <w:sz w:val="24"/>
          <w:szCs w:val="24"/>
        </w:rPr>
      </w:pPr>
    </w:p>
    <w:p w14:paraId="3BD06DC8" w14:textId="77777777" w:rsidR="006F363E" w:rsidRPr="000E19B6" w:rsidRDefault="006F363E" w:rsidP="006F363E">
      <w:pPr>
        <w:rPr>
          <w:rFonts w:ascii="Times New Roman" w:hAnsi="Times New Roman" w:cs="Times New Roman"/>
          <w:sz w:val="24"/>
          <w:szCs w:val="24"/>
        </w:rPr>
      </w:pPr>
    </w:p>
    <w:p w14:paraId="1AF72C2D" w14:textId="77777777" w:rsidR="00D851E7" w:rsidRPr="000E19B6" w:rsidRDefault="00D851E7">
      <w:pPr>
        <w:rPr>
          <w:rFonts w:ascii="Times New Roman" w:hAnsi="Times New Roman" w:cs="Times New Roman"/>
          <w:sz w:val="24"/>
          <w:szCs w:val="24"/>
        </w:rPr>
      </w:pPr>
    </w:p>
    <w:sectPr w:rsidR="00D851E7" w:rsidRPr="000E1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E19B5"/>
    <w:multiLevelType w:val="hybridMultilevel"/>
    <w:tmpl w:val="34BC610E"/>
    <w:lvl w:ilvl="0" w:tplc="9FA276A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BA"/>
    <w:rsid w:val="000C5876"/>
    <w:rsid w:val="000E19B6"/>
    <w:rsid w:val="002203E2"/>
    <w:rsid w:val="00641082"/>
    <w:rsid w:val="00664FBA"/>
    <w:rsid w:val="006F363E"/>
    <w:rsid w:val="00854490"/>
    <w:rsid w:val="009F5AFC"/>
    <w:rsid w:val="00B27F7E"/>
    <w:rsid w:val="00C644C4"/>
    <w:rsid w:val="00D8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56EB"/>
  <w15:chartTrackingRefBased/>
  <w15:docId w15:val="{07BFB111-FAD8-4361-A485-BA04787D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63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363E"/>
    <w:pPr>
      <w:ind w:left="720"/>
      <w:contextualSpacing/>
    </w:pPr>
  </w:style>
  <w:style w:type="table" w:styleId="Reetkatablice">
    <w:name w:val="Table Grid"/>
    <w:basedOn w:val="Obinatablica"/>
    <w:uiPriority w:val="39"/>
    <w:rsid w:val="006F36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2">
    <w:name w:val="Grid Table 4 Accent 2"/>
    <w:basedOn w:val="Obinatablica"/>
    <w:uiPriority w:val="49"/>
    <w:rsid w:val="006F363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6F363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vizija">
    <w:name w:val="Revision"/>
    <w:hidden/>
    <w:uiPriority w:val="99"/>
    <w:semiHidden/>
    <w:rsid w:val="00B27F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7</cp:revision>
  <dcterms:created xsi:type="dcterms:W3CDTF">2022-03-17T16:01:00Z</dcterms:created>
  <dcterms:modified xsi:type="dcterms:W3CDTF">2022-09-02T07:44:00Z</dcterms:modified>
</cp:coreProperties>
</file>